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2F674EB2" w:rsidR="00943E0D" w:rsidRPr="00F65616" w:rsidRDefault="00242C47" w:rsidP="00B74166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>Pocketsysteme als einfache Lösung, Wohnbereiche zu verdecken</w:t>
      </w:r>
    </w:p>
    <w:p w14:paraId="01003DB3" w14:textId="2CFD9D69" w:rsidR="00943E0D" w:rsidRPr="00F65616" w:rsidRDefault="00066376" w:rsidP="00B74166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eastAsia="NimbusSansGlobal-Regular" w:hAnsi="Arial" w:cs="Arial"/>
          <w:color w:val="808080"/>
          <w:sz w:val="20"/>
          <w:szCs w:val="20"/>
        </w:rPr>
        <w:t>Komfortable Lösung o</w:t>
      </w:r>
      <w:r w:rsidR="009518AB">
        <w:rPr>
          <w:rFonts w:ascii="Arial" w:eastAsia="NimbusSansGlobal-Regular" w:hAnsi="Arial" w:cs="Arial"/>
          <w:color w:val="808080"/>
          <w:sz w:val="20"/>
          <w:szCs w:val="20"/>
        </w:rPr>
        <w:t>hne Sonderkonstruktion der zu verdeckenden Möbel</w:t>
      </w:r>
    </w:p>
    <w:p w14:paraId="4134F358" w14:textId="188C9E16" w:rsidR="003B6DB6" w:rsidRPr="00B15A7A" w:rsidRDefault="00AA01BF" w:rsidP="00B74166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>Wichtige</w:t>
      </w:r>
      <w:r w:rsidR="00066376">
        <w:rPr>
          <w:rFonts w:ascii="Arial" w:hAnsi="Arial" w:cs="Arial"/>
          <w:color w:val="808080"/>
          <w:sz w:val="20"/>
          <w:szCs w:val="20"/>
        </w:rPr>
        <w:t xml:space="preserve"> </w:t>
      </w:r>
      <w:r w:rsidR="003A4DAE">
        <w:rPr>
          <w:rFonts w:ascii="Arial" w:hAnsi="Arial" w:cs="Arial"/>
          <w:color w:val="808080"/>
          <w:sz w:val="20"/>
          <w:szCs w:val="20"/>
        </w:rPr>
        <w:t>Verarbeitungsschritte beim Hersteller, e</w:t>
      </w:r>
      <w:r w:rsidR="009518AB">
        <w:rPr>
          <w:rFonts w:ascii="Arial" w:hAnsi="Arial" w:cs="Arial"/>
          <w:color w:val="808080"/>
          <w:sz w:val="20"/>
          <w:szCs w:val="20"/>
        </w:rPr>
        <w:t>infache</w:t>
      </w:r>
      <w:r w:rsidR="003A4DAE">
        <w:rPr>
          <w:rFonts w:ascii="Arial" w:hAnsi="Arial" w:cs="Arial"/>
          <w:color w:val="808080"/>
          <w:sz w:val="20"/>
          <w:szCs w:val="20"/>
        </w:rPr>
        <w:t xml:space="preserve"> und</w:t>
      </w:r>
      <w:r w:rsidR="009518AB">
        <w:rPr>
          <w:rFonts w:ascii="Arial" w:hAnsi="Arial" w:cs="Arial"/>
          <w:color w:val="808080"/>
          <w:sz w:val="20"/>
          <w:szCs w:val="20"/>
        </w:rPr>
        <w:t xml:space="preserve"> fehlerfreie Montage</w:t>
      </w:r>
      <w:r w:rsidR="003A4DAE">
        <w:rPr>
          <w:rFonts w:ascii="Arial" w:hAnsi="Arial" w:cs="Arial"/>
          <w:color w:val="808080"/>
          <w:sz w:val="20"/>
          <w:szCs w:val="20"/>
        </w:rPr>
        <w:t xml:space="preserve"> vor Ort</w:t>
      </w:r>
    </w:p>
    <w:p w14:paraId="0B11C7AB" w14:textId="2915B7B2" w:rsidR="00183A51" w:rsidRPr="00B15A7A" w:rsidRDefault="00183A51" w:rsidP="00B74166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noProof/>
          <w:color w:val="2B579A"/>
          <w:shd w:val="clear" w:color="auto" w:fill="E6E6E6"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6631229F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4C54760B" w:rsidR="1CED830D" w:rsidRPr="00D4455C" w:rsidRDefault="00AA01BF" w:rsidP="00B74166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Die Antwort auf verschmelzende Wohnbereiche</w:t>
      </w:r>
    </w:p>
    <w:p w14:paraId="738416C4" w14:textId="17237167" w:rsidR="00183A51" w:rsidRPr="00C1454C" w:rsidRDefault="00306526" w:rsidP="00B74166">
      <w:pPr>
        <w:spacing w:line="360" w:lineRule="auto"/>
        <w:rPr>
          <w:rFonts w:ascii="Arial" w:hAnsi="Arial" w:cs="Arial"/>
          <w:b/>
          <w:bCs/>
          <w:lang w:val="de-AT"/>
        </w:rPr>
      </w:pPr>
      <w:r>
        <w:rPr>
          <w:rFonts w:ascii="Arial" w:hAnsi="Arial" w:cs="Arial"/>
          <w:b/>
          <w:bCs/>
          <w:lang w:val="de-AT"/>
        </w:rPr>
        <w:t xml:space="preserve">Blum zeigt auf </w:t>
      </w:r>
      <w:proofErr w:type="spellStart"/>
      <w:r>
        <w:rPr>
          <w:rFonts w:ascii="Arial" w:hAnsi="Arial" w:cs="Arial"/>
          <w:b/>
          <w:bCs/>
          <w:i/>
          <w:lang w:val="de-AT"/>
        </w:rPr>
        <w:t>interzum</w:t>
      </w:r>
      <w:proofErr w:type="spellEnd"/>
      <w:r>
        <w:rPr>
          <w:rFonts w:ascii="Arial" w:hAnsi="Arial" w:cs="Arial"/>
          <w:b/>
          <w:bCs/>
          <w:lang w:val="de-AT"/>
        </w:rPr>
        <w:t xml:space="preserve"> einfache Lösung zum Verbergen von Möbelzeilen</w:t>
      </w:r>
    </w:p>
    <w:p w14:paraId="0866732D" w14:textId="77777777" w:rsidR="00B74166" w:rsidRDefault="00B74166" w:rsidP="00B74166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4D210FC2" w:rsidR="00183A51" w:rsidRDefault="1CED830D" w:rsidP="00B74166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1CED830D">
        <w:rPr>
          <w:rFonts w:ascii="Arial" w:hAnsi="Arial" w:cs="Arial"/>
          <w:color w:val="000000" w:themeColor="text1"/>
          <w:sz w:val="20"/>
          <w:szCs w:val="20"/>
        </w:rPr>
        <w:t xml:space="preserve">Höchst/Österreich, </w:t>
      </w:r>
      <w:r w:rsidR="00AC6416">
        <w:rPr>
          <w:rFonts w:ascii="Arial" w:hAnsi="Arial" w:cs="Arial"/>
          <w:color w:val="000000" w:themeColor="text1"/>
          <w:sz w:val="20"/>
          <w:szCs w:val="20"/>
        </w:rPr>
        <w:t>Mai</w:t>
      </w:r>
      <w:r w:rsidRPr="1CED830D">
        <w:rPr>
          <w:rFonts w:ascii="Arial" w:hAnsi="Arial" w:cs="Arial"/>
          <w:color w:val="000000" w:themeColor="text1"/>
          <w:sz w:val="20"/>
          <w:szCs w:val="20"/>
        </w:rPr>
        <w:t xml:space="preserve"> 2019.</w:t>
      </w:r>
      <w:r w:rsidRPr="1CED830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16120E">
        <w:rPr>
          <w:rFonts w:ascii="Arial" w:hAnsi="Arial" w:cs="Arial"/>
          <w:b/>
          <w:bCs/>
          <w:color w:val="000000" w:themeColor="text1"/>
          <w:sz w:val="20"/>
          <w:szCs w:val="20"/>
        </w:rPr>
        <w:t>Wenn Wohnräume verschmelzen sind clevere Lösungen gefragt</w:t>
      </w:r>
      <w:r w:rsidR="0002156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um einzelne Bereiche zu verbergen, solange sie nicht genutzt werden. Mit </w:t>
      </w:r>
      <w:r w:rsidR="00CB329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der </w:t>
      </w:r>
      <w:r w:rsidR="0002156B">
        <w:rPr>
          <w:rFonts w:ascii="Arial" w:hAnsi="Arial" w:cs="Arial"/>
          <w:b/>
          <w:bCs/>
          <w:color w:val="000000" w:themeColor="text1"/>
          <w:sz w:val="20"/>
          <w:szCs w:val="20"/>
        </w:rPr>
        <w:t>neuen</w:t>
      </w:r>
      <w:r w:rsidR="00562C4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CB329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Produktkategorie der </w:t>
      </w:r>
      <w:r w:rsidR="00562C4C">
        <w:rPr>
          <w:rFonts w:ascii="Arial" w:hAnsi="Arial" w:cs="Arial"/>
          <w:b/>
          <w:bCs/>
          <w:color w:val="000000" w:themeColor="text1"/>
          <w:sz w:val="20"/>
          <w:szCs w:val="20"/>
        </w:rPr>
        <w:t>Pocketsysteme zeigt Blum, wie bis zu 25</w:t>
      </w:r>
      <w:r w:rsidR="00A8127F">
        <w:rPr>
          <w:rFonts w:ascii="Arial" w:hAnsi="Arial" w:cs="Arial"/>
          <w:b/>
          <w:bCs/>
          <w:color w:val="000000" w:themeColor="text1"/>
          <w:sz w:val="20"/>
          <w:szCs w:val="20"/>
        </w:rPr>
        <w:t>00</w:t>
      </w:r>
      <w:r w:rsidR="00562C4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A8127F">
        <w:rPr>
          <w:rFonts w:ascii="Arial" w:hAnsi="Arial" w:cs="Arial"/>
          <w:b/>
          <w:bCs/>
          <w:color w:val="000000" w:themeColor="text1"/>
          <w:sz w:val="20"/>
          <w:szCs w:val="20"/>
        </w:rPr>
        <w:t>m</w:t>
      </w:r>
      <w:r w:rsidR="00562C4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m hohe </w:t>
      </w:r>
      <w:r w:rsidR="000D674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Türen </w:t>
      </w:r>
      <w:r w:rsidR="00F034A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ganze Möbelzeilen </w:t>
      </w:r>
      <w:r w:rsidR="00595CF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aufgeräumt </w:t>
      </w:r>
      <w:r w:rsidR="00F034A5">
        <w:rPr>
          <w:rFonts w:ascii="Arial" w:hAnsi="Arial" w:cs="Arial"/>
          <w:b/>
          <w:bCs/>
          <w:color w:val="000000" w:themeColor="text1"/>
          <w:sz w:val="20"/>
          <w:szCs w:val="20"/>
        </w:rPr>
        <w:t>verbergen</w:t>
      </w:r>
      <w:r w:rsidR="00597599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="00595CF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597599">
        <w:rPr>
          <w:rFonts w:ascii="Arial" w:hAnsi="Arial" w:cs="Arial"/>
          <w:b/>
          <w:bCs/>
          <w:color w:val="000000" w:themeColor="text1"/>
          <w:sz w:val="20"/>
          <w:szCs w:val="20"/>
        </w:rPr>
        <w:t>Geöffnet verschwinden die Türen</w:t>
      </w:r>
      <w:r w:rsidR="00595CF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dezent in </w:t>
      </w:r>
      <w:r w:rsidR="00DE7A3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sogenannten Pockets. Und das ohne </w:t>
      </w:r>
      <w:r w:rsidR="004748C1">
        <w:rPr>
          <w:rFonts w:ascii="Arial" w:hAnsi="Arial" w:cs="Arial"/>
          <w:b/>
          <w:bCs/>
          <w:color w:val="000000" w:themeColor="text1"/>
          <w:sz w:val="20"/>
          <w:szCs w:val="20"/>
        </w:rPr>
        <w:t>Sonderkorpusse konstruieren zu müssen.</w:t>
      </w:r>
    </w:p>
    <w:p w14:paraId="5BE6CD7F" w14:textId="77777777" w:rsidR="00B74166" w:rsidRDefault="00B74166" w:rsidP="00B74166">
      <w:pPr>
        <w:spacing w:line="360" w:lineRule="auto"/>
        <w:rPr>
          <w:rFonts w:ascii="Arial" w:hAnsi="Arial" w:cs="Arial"/>
          <w:sz w:val="20"/>
          <w:szCs w:val="20"/>
        </w:rPr>
      </w:pPr>
    </w:p>
    <w:p w14:paraId="573DB171" w14:textId="406665EA" w:rsidR="681D871B" w:rsidRDefault="00880889" w:rsidP="00B7416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Offene Wohnkonzepte und kleiner werdende urbane </w:t>
      </w:r>
      <w:r w:rsidR="009C6B2D">
        <w:rPr>
          <w:rFonts w:ascii="Arial" w:hAnsi="Arial" w:cs="Arial"/>
          <w:sz w:val="20"/>
          <w:szCs w:val="20"/>
        </w:rPr>
        <w:t xml:space="preserve">Wohnräume fordern neue Möbellösungen. </w:t>
      </w:r>
      <w:r w:rsidR="004505D4">
        <w:rPr>
          <w:rFonts w:ascii="Arial" w:hAnsi="Arial" w:cs="Arial"/>
          <w:sz w:val="20"/>
          <w:szCs w:val="20"/>
        </w:rPr>
        <w:t xml:space="preserve">So entsteht immer häufiger der Wunsch, funktionale Bereiche wie </w:t>
      </w:r>
      <w:r w:rsidR="00794BDA">
        <w:rPr>
          <w:rFonts w:ascii="Arial" w:hAnsi="Arial" w:cs="Arial"/>
          <w:sz w:val="20"/>
          <w:szCs w:val="20"/>
        </w:rPr>
        <w:t xml:space="preserve">eine </w:t>
      </w:r>
      <w:r w:rsidR="004505D4">
        <w:rPr>
          <w:rFonts w:ascii="Arial" w:hAnsi="Arial" w:cs="Arial"/>
          <w:sz w:val="20"/>
          <w:szCs w:val="20"/>
        </w:rPr>
        <w:t xml:space="preserve">Küchenzeile </w:t>
      </w:r>
      <w:r w:rsidR="00794BDA">
        <w:rPr>
          <w:rFonts w:ascii="Arial" w:hAnsi="Arial" w:cs="Arial"/>
          <w:sz w:val="20"/>
          <w:szCs w:val="20"/>
        </w:rPr>
        <w:t xml:space="preserve">oder einen Arbeitsbereich </w:t>
      </w:r>
      <w:r w:rsidR="004505D4">
        <w:rPr>
          <w:rFonts w:ascii="Arial" w:hAnsi="Arial" w:cs="Arial"/>
          <w:sz w:val="20"/>
          <w:szCs w:val="20"/>
        </w:rPr>
        <w:t xml:space="preserve">zu verbergen, wenn sie nicht benutzt werden. Mit </w:t>
      </w:r>
      <w:r w:rsidR="00D31B48">
        <w:rPr>
          <w:rFonts w:ascii="Arial" w:hAnsi="Arial" w:cs="Arial"/>
          <w:sz w:val="20"/>
          <w:szCs w:val="20"/>
        </w:rPr>
        <w:t xml:space="preserve">seinen </w:t>
      </w:r>
      <w:proofErr w:type="spellStart"/>
      <w:r w:rsidR="00D31B48">
        <w:rPr>
          <w:rFonts w:ascii="Arial" w:hAnsi="Arial" w:cs="Arial"/>
          <w:sz w:val="20"/>
          <w:szCs w:val="20"/>
        </w:rPr>
        <w:t>Pocketsystemen</w:t>
      </w:r>
      <w:proofErr w:type="spellEnd"/>
      <w:r w:rsidR="00D31B48">
        <w:rPr>
          <w:rFonts w:ascii="Arial" w:hAnsi="Arial" w:cs="Arial"/>
          <w:sz w:val="20"/>
          <w:szCs w:val="20"/>
        </w:rPr>
        <w:t xml:space="preserve"> zeigt der Beschlägespezialist Blum eine einfach umsetzbare Möglichkeit</w:t>
      </w:r>
      <w:r w:rsidR="0030757D">
        <w:rPr>
          <w:rFonts w:ascii="Arial" w:hAnsi="Arial" w:cs="Arial"/>
          <w:sz w:val="20"/>
          <w:szCs w:val="20"/>
        </w:rPr>
        <w:t xml:space="preserve">, große </w:t>
      </w:r>
      <w:r w:rsidR="000D674F">
        <w:rPr>
          <w:rFonts w:ascii="Arial" w:hAnsi="Arial" w:cs="Arial"/>
          <w:sz w:val="20"/>
          <w:szCs w:val="20"/>
        </w:rPr>
        <w:t xml:space="preserve">Türen </w:t>
      </w:r>
      <w:r w:rsidR="0030757D">
        <w:rPr>
          <w:rFonts w:ascii="Arial" w:hAnsi="Arial" w:cs="Arial"/>
          <w:sz w:val="20"/>
          <w:szCs w:val="20"/>
        </w:rPr>
        <w:t>zum Verdecken einzusetzen, die</w:t>
      </w:r>
      <w:r w:rsidR="001A020F">
        <w:rPr>
          <w:rFonts w:ascii="Arial" w:hAnsi="Arial" w:cs="Arial"/>
          <w:sz w:val="20"/>
          <w:szCs w:val="20"/>
        </w:rPr>
        <w:t xml:space="preserve"> geöffnet in einem eigenen </w:t>
      </w:r>
      <w:r w:rsidR="001A020F" w:rsidRPr="003F7E05">
        <w:rPr>
          <w:rFonts w:ascii="Arial" w:hAnsi="Arial" w:cs="Arial"/>
          <w:sz w:val="20"/>
          <w:szCs w:val="20"/>
        </w:rPr>
        <w:t>schmalen Korpus, dem Pocket, verschwinden</w:t>
      </w:r>
      <w:r w:rsidR="008C3070" w:rsidRPr="003F7E05">
        <w:rPr>
          <w:rFonts w:ascii="Arial" w:hAnsi="Arial" w:cs="Arial"/>
          <w:sz w:val="20"/>
          <w:szCs w:val="20"/>
        </w:rPr>
        <w:t>. Möbelnutzer</w:t>
      </w:r>
      <w:r w:rsidR="00C12EF5" w:rsidRPr="003F7E05">
        <w:rPr>
          <w:rFonts w:ascii="Arial" w:hAnsi="Arial" w:cs="Arial"/>
          <w:sz w:val="20"/>
          <w:szCs w:val="20"/>
        </w:rPr>
        <w:t xml:space="preserve"> erleben das Öffnen und Schließen der großen Türen als </w:t>
      </w:r>
      <w:r w:rsidR="008A22FC" w:rsidRPr="003F7E05">
        <w:rPr>
          <w:rFonts w:ascii="Arial" w:hAnsi="Arial" w:cs="Arial"/>
          <w:sz w:val="20"/>
          <w:szCs w:val="20"/>
        </w:rPr>
        <w:t>sehr komfortabel.</w:t>
      </w:r>
      <w:r w:rsidR="00EA5436" w:rsidRPr="003F7E05">
        <w:rPr>
          <w:rFonts w:ascii="Arial" w:hAnsi="Arial" w:cs="Arial"/>
          <w:sz w:val="20"/>
          <w:szCs w:val="20"/>
        </w:rPr>
        <w:t xml:space="preserve"> Leichtgängig </w:t>
      </w:r>
      <w:r w:rsidR="00C058B4" w:rsidRPr="003F7E05">
        <w:rPr>
          <w:rFonts w:ascii="Arial" w:hAnsi="Arial" w:cs="Arial"/>
          <w:sz w:val="20"/>
          <w:szCs w:val="20"/>
        </w:rPr>
        <w:t xml:space="preserve">öffnet der Benutzer die Tür, zum Beispiel </w:t>
      </w:r>
      <w:r w:rsidR="008734F9" w:rsidRPr="003F7E05">
        <w:rPr>
          <w:rFonts w:ascii="Arial" w:hAnsi="Arial" w:cs="Arial"/>
          <w:sz w:val="20"/>
          <w:szCs w:val="20"/>
        </w:rPr>
        <w:t xml:space="preserve">mit </w:t>
      </w:r>
      <w:r w:rsidR="001414C9" w:rsidRPr="007A2F4E">
        <w:rPr>
          <w:rFonts w:ascii="Arial" w:hAnsi="Arial" w:cs="Arial"/>
          <w:iCs/>
          <w:sz w:val="20"/>
          <w:szCs w:val="20"/>
        </w:rPr>
        <w:t>TIP-ON</w:t>
      </w:r>
      <w:r w:rsidR="001414C9" w:rsidRPr="004747EA">
        <w:rPr>
          <w:rFonts w:ascii="Arial" w:hAnsi="Arial" w:cs="Arial"/>
          <w:sz w:val="20"/>
          <w:szCs w:val="20"/>
        </w:rPr>
        <w:t xml:space="preserve"> </w:t>
      </w:r>
      <w:r w:rsidR="005F600E" w:rsidRPr="004747EA">
        <w:rPr>
          <w:rFonts w:ascii="Arial" w:hAnsi="Arial" w:cs="Arial"/>
          <w:sz w:val="20"/>
          <w:szCs w:val="20"/>
        </w:rPr>
        <w:t>durch leichtes Antippen</w:t>
      </w:r>
      <w:r w:rsidR="0064533E" w:rsidRPr="004747EA">
        <w:rPr>
          <w:rFonts w:ascii="Arial" w:hAnsi="Arial" w:cs="Arial"/>
          <w:sz w:val="20"/>
          <w:szCs w:val="20"/>
        </w:rPr>
        <w:t xml:space="preserve">, und schiebt sie in das Pocket. </w:t>
      </w:r>
      <w:r w:rsidR="00585F61" w:rsidRPr="004747EA">
        <w:rPr>
          <w:rFonts w:ascii="Arial" w:hAnsi="Arial" w:cs="Arial"/>
          <w:sz w:val="20"/>
          <w:szCs w:val="20"/>
        </w:rPr>
        <w:t>Die Tür ist damit aus dem Bewegungsbereich</w:t>
      </w:r>
      <w:r w:rsidR="004F2D9B" w:rsidRPr="004747EA">
        <w:rPr>
          <w:rFonts w:ascii="Arial" w:hAnsi="Arial" w:cs="Arial"/>
          <w:sz w:val="20"/>
          <w:szCs w:val="20"/>
        </w:rPr>
        <w:t xml:space="preserve"> und die Möbelzeile </w:t>
      </w:r>
      <w:r w:rsidR="00A16004" w:rsidRPr="004747EA">
        <w:rPr>
          <w:rFonts w:ascii="Arial" w:hAnsi="Arial" w:cs="Arial"/>
          <w:sz w:val="20"/>
          <w:szCs w:val="20"/>
        </w:rPr>
        <w:t xml:space="preserve">bequem zugänglich. Zum Schließen drückt der </w:t>
      </w:r>
      <w:r w:rsidR="00477F8E" w:rsidRPr="004747EA">
        <w:rPr>
          <w:rFonts w:ascii="Arial" w:hAnsi="Arial" w:cs="Arial"/>
          <w:sz w:val="20"/>
          <w:szCs w:val="20"/>
        </w:rPr>
        <w:t>Nutzer auf die Tür, sie wird sanft</w:t>
      </w:r>
      <w:r w:rsidR="00477F8E">
        <w:rPr>
          <w:rFonts w:ascii="Arial" w:hAnsi="Arial" w:cs="Arial"/>
          <w:sz w:val="20"/>
          <w:szCs w:val="20"/>
        </w:rPr>
        <w:t xml:space="preserve"> aus dem Pocket ausgeworfen</w:t>
      </w:r>
      <w:r w:rsidR="00990B4E">
        <w:rPr>
          <w:rFonts w:ascii="Arial" w:hAnsi="Arial" w:cs="Arial"/>
          <w:sz w:val="20"/>
          <w:szCs w:val="20"/>
        </w:rPr>
        <w:t>.</w:t>
      </w:r>
      <w:r w:rsidR="00477F8E">
        <w:rPr>
          <w:rFonts w:ascii="Arial" w:hAnsi="Arial" w:cs="Arial"/>
          <w:sz w:val="20"/>
          <w:szCs w:val="20"/>
        </w:rPr>
        <w:t xml:space="preserve"> </w:t>
      </w:r>
      <w:r w:rsidR="00AF3BB0">
        <w:rPr>
          <w:rFonts w:ascii="Arial" w:hAnsi="Arial" w:cs="Arial"/>
          <w:sz w:val="20"/>
          <w:szCs w:val="20"/>
        </w:rPr>
        <w:t xml:space="preserve">Leichtes </w:t>
      </w:r>
      <w:r w:rsidR="00990B4E">
        <w:rPr>
          <w:rFonts w:ascii="Arial" w:hAnsi="Arial" w:cs="Arial"/>
          <w:sz w:val="20"/>
          <w:szCs w:val="20"/>
        </w:rPr>
        <w:t>Zudrücken</w:t>
      </w:r>
      <w:r w:rsidR="00895DB5">
        <w:rPr>
          <w:rFonts w:ascii="Arial" w:hAnsi="Arial" w:cs="Arial"/>
          <w:sz w:val="20"/>
          <w:szCs w:val="20"/>
        </w:rPr>
        <w:t xml:space="preserve"> genügt und der Bereich </w:t>
      </w:r>
      <w:r w:rsidR="002C7A0B">
        <w:rPr>
          <w:rFonts w:ascii="Arial" w:hAnsi="Arial" w:cs="Arial"/>
          <w:sz w:val="20"/>
          <w:szCs w:val="20"/>
        </w:rPr>
        <w:t xml:space="preserve">ist wieder </w:t>
      </w:r>
      <w:r w:rsidR="00F649A7">
        <w:rPr>
          <w:rFonts w:ascii="Arial" w:hAnsi="Arial" w:cs="Arial"/>
          <w:sz w:val="20"/>
          <w:szCs w:val="20"/>
        </w:rPr>
        <w:t>elegant geschlossen</w:t>
      </w:r>
      <w:r w:rsidR="00990B4E">
        <w:rPr>
          <w:rFonts w:ascii="Arial" w:hAnsi="Arial" w:cs="Arial"/>
          <w:sz w:val="20"/>
          <w:szCs w:val="20"/>
        </w:rPr>
        <w:t>.</w:t>
      </w:r>
      <w:r w:rsidR="009C50D0">
        <w:rPr>
          <w:rFonts w:ascii="Arial" w:hAnsi="Arial" w:cs="Arial"/>
          <w:sz w:val="20"/>
          <w:szCs w:val="20"/>
        </w:rPr>
        <w:t xml:space="preserve"> 3 unterschiedliche Anwendungsbeispiele zeigt Blum auf der diesjährigen </w:t>
      </w:r>
      <w:proofErr w:type="spellStart"/>
      <w:r w:rsidR="009C50D0" w:rsidRPr="79CE5816">
        <w:rPr>
          <w:rFonts w:ascii="Arial" w:hAnsi="Arial" w:cs="Arial"/>
          <w:i/>
          <w:iCs/>
          <w:sz w:val="20"/>
          <w:szCs w:val="20"/>
        </w:rPr>
        <w:t>interzum</w:t>
      </w:r>
      <w:proofErr w:type="spellEnd"/>
      <w:r w:rsidR="009C50D0">
        <w:rPr>
          <w:rFonts w:ascii="Arial" w:hAnsi="Arial" w:cs="Arial"/>
          <w:sz w:val="20"/>
          <w:szCs w:val="20"/>
        </w:rPr>
        <w:t xml:space="preserve"> am Messestand</w:t>
      </w:r>
      <w:r w:rsidR="00E96D3D">
        <w:rPr>
          <w:rFonts w:ascii="Arial" w:hAnsi="Arial" w:cs="Arial"/>
          <w:sz w:val="20"/>
          <w:szCs w:val="20"/>
        </w:rPr>
        <w:t xml:space="preserve"> – </w:t>
      </w:r>
      <w:r w:rsidR="00380C37">
        <w:rPr>
          <w:rFonts w:ascii="Arial" w:hAnsi="Arial" w:cs="Arial"/>
          <w:sz w:val="20"/>
          <w:szCs w:val="20"/>
        </w:rPr>
        <w:t xml:space="preserve">für Küche, Hauswirtschaftsraum und Bar, </w:t>
      </w:r>
      <w:r w:rsidR="00E96D3D">
        <w:rPr>
          <w:rFonts w:ascii="Arial" w:hAnsi="Arial" w:cs="Arial"/>
          <w:sz w:val="20"/>
          <w:szCs w:val="20"/>
        </w:rPr>
        <w:t xml:space="preserve">mit und ohne Griffe, mit unterschiedlichen Bewegungstechnologien und sowohl </w:t>
      </w:r>
      <w:r w:rsidR="0074066F">
        <w:rPr>
          <w:rFonts w:ascii="Arial" w:hAnsi="Arial" w:cs="Arial"/>
          <w:sz w:val="20"/>
          <w:szCs w:val="20"/>
        </w:rPr>
        <w:t xml:space="preserve">als Anwendung mit </w:t>
      </w:r>
      <w:r w:rsidR="00E96D3D">
        <w:rPr>
          <w:rFonts w:ascii="Arial" w:hAnsi="Arial" w:cs="Arial"/>
          <w:sz w:val="20"/>
          <w:szCs w:val="20"/>
        </w:rPr>
        <w:t>Einzel- als auch mit Doppeltür</w:t>
      </w:r>
      <w:r w:rsidR="00E72CB0">
        <w:rPr>
          <w:rFonts w:ascii="Arial" w:hAnsi="Arial" w:cs="Arial"/>
          <w:sz w:val="20"/>
          <w:szCs w:val="20"/>
        </w:rPr>
        <w:t>.</w:t>
      </w:r>
    </w:p>
    <w:p w14:paraId="3360A79D" w14:textId="77777777" w:rsidR="00B74166" w:rsidRPr="00C1454C" w:rsidRDefault="00B74166" w:rsidP="00B74166">
      <w:pPr>
        <w:spacing w:line="360" w:lineRule="auto"/>
        <w:rPr>
          <w:rFonts w:ascii="Arial" w:hAnsi="Arial" w:cs="Arial"/>
          <w:sz w:val="20"/>
          <w:szCs w:val="20"/>
        </w:rPr>
      </w:pPr>
    </w:p>
    <w:p w14:paraId="741956A3" w14:textId="1E0AF134" w:rsidR="001F0C33" w:rsidRDefault="001F0C33" w:rsidP="00B74166">
      <w:pPr>
        <w:spacing w:line="360" w:lineRule="auto"/>
        <w:rPr>
          <w:rFonts w:ascii="Arial" w:hAnsi="Arial" w:cs="Arial"/>
          <w:sz w:val="20"/>
          <w:szCs w:val="20"/>
        </w:rPr>
      </w:pPr>
      <w:r w:rsidRPr="00111B09">
        <w:rPr>
          <w:rFonts w:ascii="Arial" w:hAnsi="Arial" w:cs="Arial"/>
          <w:b/>
          <w:bCs/>
          <w:sz w:val="20"/>
          <w:szCs w:val="20"/>
        </w:rPr>
        <w:t>Überraschend</w:t>
      </w:r>
      <w:r w:rsidR="002A5DF4" w:rsidRPr="00111B09">
        <w:rPr>
          <w:rFonts w:ascii="Arial" w:hAnsi="Arial" w:cs="Arial"/>
          <w:b/>
          <w:bCs/>
          <w:sz w:val="20"/>
          <w:szCs w:val="20"/>
        </w:rPr>
        <w:t xml:space="preserve"> einfach</w:t>
      </w:r>
      <w:r w:rsidR="00910C1C" w:rsidRPr="00111B09">
        <w:rPr>
          <w:rFonts w:ascii="Arial" w:hAnsi="Arial" w:cs="Arial"/>
          <w:b/>
          <w:bCs/>
          <w:sz w:val="20"/>
          <w:szCs w:val="20"/>
        </w:rPr>
        <w:t xml:space="preserve"> verarbeiten und montieren</w:t>
      </w:r>
      <w:r w:rsidR="002A5DF4" w:rsidRPr="004747EA">
        <w:rPr>
          <w:rFonts w:ascii="Arial" w:hAnsi="Arial" w:cs="Arial"/>
          <w:color w:val="000000" w:themeColor="text1"/>
          <w:sz w:val="20"/>
          <w:szCs w:val="20"/>
        </w:rPr>
        <w:br/>
      </w:r>
      <w:r w:rsidR="00BA5610">
        <w:rPr>
          <w:rFonts w:ascii="Arial" w:hAnsi="Arial" w:cs="Arial"/>
          <w:sz w:val="20"/>
          <w:szCs w:val="20"/>
        </w:rPr>
        <w:t xml:space="preserve">Große Vorteile </w:t>
      </w:r>
      <w:r w:rsidR="00C8387A">
        <w:rPr>
          <w:rFonts w:ascii="Arial" w:hAnsi="Arial" w:cs="Arial"/>
          <w:sz w:val="20"/>
          <w:szCs w:val="20"/>
        </w:rPr>
        <w:t xml:space="preserve">bringen </w:t>
      </w:r>
      <w:r w:rsidR="00BA5610">
        <w:rPr>
          <w:rFonts w:ascii="Arial" w:hAnsi="Arial" w:cs="Arial"/>
          <w:sz w:val="20"/>
          <w:szCs w:val="20"/>
        </w:rPr>
        <w:t>die Pocketsysteme von Blum bei der Möbel</w:t>
      </w:r>
      <w:r w:rsidR="00115ADA">
        <w:rPr>
          <w:rFonts w:ascii="Arial" w:hAnsi="Arial" w:cs="Arial"/>
          <w:sz w:val="20"/>
          <w:szCs w:val="20"/>
        </w:rPr>
        <w:t>k</w:t>
      </w:r>
      <w:r w:rsidR="00BA5610">
        <w:rPr>
          <w:rFonts w:ascii="Arial" w:hAnsi="Arial" w:cs="Arial"/>
          <w:sz w:val="20"/>
          <w:szCs w:val="20"/>
        </w:rPr>
        <w:t>onstruktion</w:t>
      </w:r>
      <w:r w:rsidR="00115ADA">
        <w:rPr>
          <w:rFonts w:ascii="Arial" w:hAnsi="Arial" w:cs="Arial"/>
          <w:sz w:val="20"/>
          <w:szCs w:val="20"/>
        </w:rPr>
        <w:t xml:space="preserve"> und Verarbeitung. Möbelzeilen lassen sich ganz einfach und ohne große Anpassungen </w:t>
      </w:r>
      <w:r w:rsidR="0096179D">
        <w:rPr>
          <w:rFonts w:ascii="Arial" w:hAnsi="Arial" w:cs="Arial"/>
          <w:sz w:val="20"/>
          <w:szCs w:val="20"/>
        </w:rPr>
        <w:t>entwerfen</w:t>
      </w:r>
      <w:r w:rsidR="00E914B3">
        <w:rPr>
          <w:rFonts w:ascii="Arial" w:hAnsi="Arial" w:cs="Arial"/>
          <w:sz w:val="20"/>
          <w:szCs w:val="20"/>
        </w:rPr>
        <w:t>, da die Po</w:t>
      </w:r>
      <w:r w:rsidR="00E6102F">
        <w:rPr>
          <w:rFonts w:ascii="Arial" w:hAnsi="Arial" w:cs="Arial"/>
          <w:sz w:val="20"/>
          <w:szCs w:val="20"/>
        </w:rPr>
        <w:t>c</w:t>
      </w:r>
      <w:r w:rsidR="00E914B3">
        <w:rPr>
          <w:rFonts w:ascii="Arial" w:hAnsi="Arial" w:cs="Arial"/>
          <w:sz w:val="20"/>
          <w:szCs w:val="20"/>
        </w:rPr>
        <w:t xml:space="preserve">ketsysteme, egal ob als </w:t>
      </w:r>
      <w:r w:rsidR="00870D17">
        <w:rPr>
          <w:rFonts w:ascii="Arial" w:hAnsi="Arial" w:cs="Arial"/>
          <w:sz w:val="20"/>
          <w:szCs w:val="20"/>
        </w:rPr>
        <w:t xml:space="preserve">Doppel- oder als Einzeltür, mit </w:t>
      </w:r>
      <w:r w:rsidR="00990212">
        <w:rPr>
          <w:rFonts w:ascii="Arial" w:hAnsi="Arial" w:cs="Arial"/>
          <w:sz w:val="20"/>
          <w:szCs w:val="20"/>
        </w:rPr>
        <w:t xml:space="preserve">je </w:t>
      </w:r>
      <w:r w:rsidR="00870D17">
        <w:rPr>
          <w:rFonts w:ascii="Arial" w:hAnsi="Arial" w:cs="Arial"/>
          <w:sz w:val="20"/>
          <w:szCs w:val="20"/>
        </w:rPr>
        <w:t>einem</w:t>
      </w:r>
      <w:r w:rsidR="00990212">
        <w:rPr>
          <w:rFonts w:ascii="Arial" w:hAnsi="Arial" w:cs="Arial"/>
          <w:sz w:val="20"/>
          <w:szCs w:val="20"/>
        </w:rPr>
        <w:t xml:space="preserve"> eigenen schmalen Korpus </w:t>
      </w:r>
      <w:r w:rsidR="00CE5DD9">
        <w:rPr>
          <w:rFonts w:ascii="Arial" w:hAnsi="Arial" w:cs="Arial"/>
          <w:sz w:val="20"/>
          <w:szCs w:val="20"/>
        </w:rPr>
        <w:t xml:space="preserve">neben den Möbeln </w:t>
      </w:r>
      <w:r w:rsidR="00990212">
        <w:rPr>
          <w:rFonts w:ascii="Arial" w:hAnsi="Arial" w:cs="Arial"/>
          <w:sz w:val="20"/>
          <w:szCs w:val="20"/>
        </w:rPr>
        <w:t>eingeplant werden.</w:t>
      </w:r>
      <w:r w:rsidR="0096179D">
        <w:rPr>
          <w:rFonts w:ascii="Arial" w:hAnsi="Arial" w:cs="Arial"/>
          <w:sz w:val="20"/>
          <w:szCs w:val="20"/>
        </w:rPr>
        <w:t xml:space="preserve"> </w:t>
      </w:r>
      <w:r w:rsidR="009959D0">
        <w:rPr>
          <w:rFonts w:ascii="Arial" w:hAnsi="Arial" w:cs="Arial"/>
          <w:sz w:val="20"/>
          <w:szCs w:val="20"/>
        </w:rPr>
        <w:t>Die zu verdeckenden Möbel</w:t>
      </w:r>
      <w:r w:rsidR="00A911BA">
        <w:rPr>
          <w:rFonts w:ascii="Arial" w:hAnsi="Arial" w:cs="Arial"/>
          <w:sz w:val="20"/>
          <w:szCs w:val="20"/>
        </w:rPr>
        <w:t xml:space="preserve"> lassen sich frei </w:t>
      </w:r>
      <w:r w:rsidR="000E5770">
        <w:rPr>
          <w:rFonts w:ascii="Arial" w:hAnsi="Arial" w:cs="Arial"/>
          <w:sz w:val="20"/>
          <w:szCs w:val="20"/>
        </w:rPr>
        <w:t>gestalten</w:t>
      </w:r>
      <w:r w:rsidR="00B13F47">
        <w:rPr>
          <w:rFonts w:ascii="Arial" w:hAnsi="Arial" w:cs="Arial"/>
          <w:sz w:val="20"/>
          <w:szCs w:val="20"/>
        </w:rPr>
        <w:t xml:space="preserve">, ohne einen zusätzlichen Korpus um </w:t>
      </w:r>
      <w:r w:rsidR="00DA633D">
        <w:rPr>
          <w:rFonts w:ascii="Arial" w:hAnsi="Arial" w:cs="Arial"/>
          <w:sz w:val="20"/>
          <w:szCs w:val="20"/>
        </w:rPr>
        <w:t xml:space="preserve">die Möbelzeile </w:t>
      </w:r>
      <w:r w:rsidR="00B13F47">
        <w:rPr>
          <w:rFonts w:ascii="Arial" w:hAnsi="Arial" w:cs="Arial"/>
          <w:sz w:val="20"/>
          <w:szCs w:val="20"/>
        </w:rPr>
        <w:t>herum konstruieren zu müssen</w:t>
      </w:r>
      <w:r w:rsidR="000E5770">
        <w:rPr>
          <w:rFonts w:ascii="Arial" w:hAnsi="Arial" w:cs="Arial"/>
          <w:sz w:val="20"/>
          <w:szCs w:val="20"/>
        </w:rPr>
        <w:t>.</w:t>
      </w:r>
      <w:r w:rsidR="00E26581">
        <w:rPr>
          <w:rFonts w:ascii="Arial" w:hAnsi="Arial" w:cs="Arial"/>
          <w:sz w:val="20"/>
          <w:szCs w:val="20"/>
        </w:rPr>
        <w:t xml:space="preserve"> </w:t>
      </w:r>
      <w:r w:rsidR="009D1C99">
        <w:rPr>
          <w:rFonts w:ascii="Arial" w:hAnsi="Arial" w:cs="Arial"/>
          <w:sz w:val="20"/>
          <w:szCs w:val="20"/>
        </w:rPr>
        <w:t xml:space="preserve">Ein echter Vorteil: </w:t>
      </w:r>
      <w:r w:rsidR="00E26581">
        <w:rPr>
          <w:rFonts w:ascii="Arial" w:hAnsi="Arial" w:cs="Arial"/>
          <w:sz w:val="20"/>
          <w:szCs w:val="20"/>
        </w:rPr>
        <w:t>Standardtüren verdecken Standardkorpusse</w:t>
      </w:r>
      <w:r w:rsidR="000C5421">
        <w:rPr>
          <w:rFonts w:ascii="Arial" w:hAnsi="Arial" w:cs="Arial"/>
          <w:sz w:val="20"/>
          <w:szCs w:val="20"/>
        </w:rPr>
        <w:t>.</w:t>
      </w:r>
      <w:r w:rsidR="002F6405">
        <w:rPr>
          <w:rFonts w:ascii="Arial" w:hAnsi="Arial" w:cs="Arial"/>
          <w:sz w:val="20"/>
          <w:szCs w:val="20"/>
        </w:rPr>
        <w:t xml:space="preserve"> Türen mit bis zu 250</w:t>
      </w:r>
      <w:r w:rsidR="00A8127F">
        <w:rPr>
          <w:rFonts w:ascii="Arial" w:hAnsi="Arial" w:cs="Arial"/>
          <w:sz w:val="20"/>
          <w:szCs w:val="20"/>
        </w:rPr>
        <w:t xml:space="preserve">0 mm Höhe und 800 mm Breite </w:t>
      </w:r>
      <w:r w:rsidR="00B3798D">
        <w:rPr>
          <w:rFonts w:ascii="Arial" w:hAnsi="Arial" w:cs="Arial"/>
          <w:sz w:val="20"/>
          <w:szCs w:val="20"/>
        </w:rPr>
        <w:t>und einem Gewicht von bis zu 35 kg sind mit de</w:t>
      </w:r>
      <w:r w:rsidR="00BC39FA">
        <w:rPr>
          <w:rFonts w:ascii="Arial" w:hAnsi="Arial" w:cs="Arial"/>
          <w:sz w:val="20"/>
          <w:szCs w:val="20"/>
        </w:rPr>
        <w:t>n</w:t>
      </w:r>
      <w:r w:rsidR="00B379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3798D">
        <w:rPr>
          <w:rFonts w:ascii="Arial" w:hAnsi="Arial" w:cs="Arial"/>
          <w:sz w:val="20"/>
          <w:szCs w:val="20"/>
        </w:rPr>
        <w:t>Pocketsystem</w:t>
      </w:r>
      <w:r w:rsidR="00BC39FA">
        <w:rPr>
          <w:rFonts w:ascii="Arial" w:hAnsi="Arial" w:cs="Arial"/>
          <w:sz w:val="20"/>
          <w:szCs w:val="20"/>
        </w:rPr>
        <w:t>en</w:t>
      </w:r>
      <w:proofErr w:type="spellEnd"/>
      <w:r w:rsidR="00B3798D">
        <w:rPr>
          <w:rFonts w:ascii="Arial" w:hAnsi="Arial" w:cs="Arial"/>
          <w:sz w:val="20"/>
          <w:szCs w:val="20"/>
        </w:rPr>
        <w:t xml:space="preserve"> des österreichischen </w:t>
      </w:r>
      <w:proofErr w:type="spellStart"/>
      <w:r w:rsidR="00B3798D">
        <w:rPr>
          <w:rFonts w:ascii="Arial" w:hAnsi="Arial" w:cs="Arial"/>
          <w:sz w:val="20"/>
          <w:szCs w:val="20"/>
        </w:rPr>
        <w:t>Beschläge</w:t>
      </w:r>
      <w:r w:rsidR="0013312A">
        <w:rPr>
          <w:rFonts w:ascii="Arial" w:hAnsi="Arial" w:cs="Arial"/>
          <w:sz w:val="20"/>
          <w:szCs w:val="20"/>
        </w:rPr>
        <w:t>herstellers</w:t>
      </w:r>
      <w:proofErr w:type="spellEnd"/>
      <w:r w:rsidR="0013312A">
        <w:rPr>
          <w:rFonts w:ascii="Arial" w:hAnsi="Arial" w:cs="Arial"/>
          <w:sz w:val="20"/>
          <w:szCs w:val="20"/>
        </w:rPr>
        <w:t xml:space="preserve"> umsetzbar.</w:t>
      </w:r>
      <w:r w:rsidR="00910C1C">
        <w:rPr>
          <w:rFonts w:ascii="Arial" w:hAnsi="Arial" w:cs="Arial"/>
          <w:sz w:val="20"/>
          <w:szCs w:val="20"/>
        </w:rPr>
        <w:t xml:space="preserve"> </w:t>
      </w:r>
      <w:r w:rsidR="002E13F9">
        <w:rPr>
          <w:rFonts w:ascii="Arial" w:hAnsi="Arial" w:cs="Arial"/>
          <w:sz w:val="20"/>
          <w:szCs w:val="20"/>
        </w:rPr>
        <w:t xml:space="preserve">Da </w:t>
      </w:r>
      <w:r w:rsidR="009D1C99">
        <w:rPr>
          <w:rFonts w:ascii="Arial" w:hAnsi="Arial" w:cs="Arial"/>
          <w:sz w:val="20"/>
          <w:szCs w:val="20"/>
        </w:rPr>
        <w:t xml:space="preserve">die </w:t>
      </w:r>
      <w:r w:rsidR="003D4E2F">
        <w:rPr>
          <w:rFonts w:ascii="Arial" w:hAnsi="Arial" w:cs="Arial"/>
          <w:sz w:val="20"/>
          <w:szCs w:val="20"/>
        </w:rPr>
        <w:t>Pocket</w:t>
      </w:r>
      <w:r w:rsidR="009D1C99">
        <w:rPr>
          <w:rFonts w:ascii="Arial" w:hAnsi="Arial" w:cs="Arial"/>
          <w:sz w:val="20"/>
          <w:szCs w:val="20"/>
        </w:rPr>
        <w:t>s</w:t>
      </w:r>
      <w:r w:rsidR="003D4E2F">
        <w:rPr>
          <w:rFonts w:ascii="Arial" w:hAnsi="Arial" w:cs="Arial"/>
          <w:sz w:val="20"/>
          <w:szCs w:val="20"/>
        </w:rPr>
        <w:t xml:space="preserve"> und die Türen beim Hersteller</w:t>
      </w:r>
      <w:r w:rsidR="008555C2">
        <w:rPr>
          <w:rFonts w:ascii="Arial" w:hAnsi="Arial" w:cs="Arial"/>
          <w:sz w:val="20"/>
          <w:szCs w:val="20"/>
        </w:rPr>
        <w:t xml:space="preserve"> entstehen und zusammengebaut an den Aufstellort geliefert werden, ist die Endmontage denkbar einfach</w:t>
      </w:r>
      <w:r w:rsidR="00D51346">
        <w:rPr>
          <w:rFonts w:ascii="Arial" w:hAnsi="Arial" w:cs="Arial"/>
          <w:sz w:val="20"/>
          <w:szCs w:val="20"/>
        </w:rPr>
        <w:t xml:space="preserve">: </w:t>
      </w:r>
      <w:r w:rsidR="00D51346" w:rsidRPr="00D51346">
        <w:rPr>
          <w:rFonts w:ascii="Arial" w:hAnsi="Arial" w:cs="Arial"/>
          <w:sz w:val="20"/>
          <w:szCs w:val="20"/>
        </w:rPr>
        <w:t>Pocket</w:t>
      </w:r>
      <w:r w:rsidR="00612FEE">
        <w:rPr>
          <w:rFonts w:ascii="Arial" w:hAnsi="Arial" w:cs="Arial"/>
          <w:sz w:val="20"/>
          <w:szCs w:val="20"/>
        </w:rPr>
        <w:t>s</w:t>
      </w:r>
      <w:r w:rsidR="00D51346" w:rsidRPr="00D51346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51346" w:rsidRPr="00D51346">
        <w:rPr>
          <w:rFonts w:ascii="Arial" w:hAnsi="Arial" w:cs="Arial"/>
          <w:sz w:val="20"/>
          <w:szCs w:val="20"/>
        </w:rPr>
        <w:t>aufstellen</w:t>
      </w:r>
      <w:proofErr w:type="gramEnd"/>
      <w:r w:rsidR="00D51346" w:rsidRPr="00D51346">
        <w:rPr>
          <w:rFonts w:ascii="Arial" w:hAnsi="Arial" w:cs="Arial"/>
          <w:sz w:val="20"/>
          <w:szCs w:val="20"/>
        </w:rPr>
        <w:t>, ausrichten und befestigen</w:t>
      </w:r>
      <w:r w:rsidR="00D85D13">
        <w:rPr>
          <w:rFonts w:ascii="Arial" w:hAnsi="Arial" w:cs="Arial"/>
          <w:sz w:val="20"/>
          <w:szCs w:val="20"/>
        </w:rPr>
        <w:t xml:space="preserve">, </w:t>
      </w:r>
      <w:r w:rsidR="00D51346" w:rsidRPr="00D51346">
        <w:rPr>
          <w:rFonts w:ascii="Arial" w:hAnsi="Arial" w:cs="Arial"/>
          <w:sz w:val="20"/>
          <w:szCs w:val="20"/>
        </w:rPr>
        <w:t xml:space="preserve">Türen und Laufträger </w:t>
      </w:r>
      <w:r w:rsidR="00D85D13">
        <w:rPr>
          <w:rFonts w:ascii="Arial" w:hAnsi="Arial" w:cs="Arial"/>
          <w:sz w:val="20"/>
          <w:szCs w:val="20"/>
        </w:rPr>
        <w:t>installieren, e</w:t>
      </w:r>
      <w:r w:rsidR="00D51346" w:rsidRPr="00D51346">
        <w:rPr>
          <w:rFonts w:ascii="Arial" w:hAnsi="Arial" w:cs="Arial"/>
          <w:sz w:val="20"/>
          <w:szCs w:val="20"/>
        </w:rPr>
        <w:t>infach einstellen</w:t>
      </w:r>
      <w:r w:rsidR="00D85D13">
        <w:rPr>
          <w:rFonts w:ascii="Arial" w:hAnsi="Arial" w:cs="Arial"/>
          <w:sz w:val="20"/>
          <w:szCs w:val="20"/>
        </w:rPr>
        <w:t xml:space="preserve"> und fertig. Selbst die Demontage i</w:t>
      </w:r>
      <w:r w:rsidR="00371C1F">
        <w:rPr>
          <w:rFonts w:ascii="Arial" w:hAnsi="Arial" w:cs="Arial"/>
          <w:sz w:val="20"/>
          <w:szCs w:val="20"/>
        </w:rPr>
        <w:t>st in wenigen Schritten möglich.</w:t>
      </w:r>
    </w:p>
    <w:p w14:paraId="24D41017" w14:textId="042554EE" w:rsidR="00B74166" w:rsidRDefault="00B74166" w:rsidP="00B74166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  <w:r w:rsidRPr="000139E6">
        <w:rPr>
          <w:rFonts w:ascii="Arial" w:hAnsi="Arial" w:cs="Arial"/>
          <w:sz w:val="18"/>
          <w:szCs w:val="18"/>
          <w:lang w:val="de-AT"/>
        </w:rPr>
        <w:lastRenderedPageBreak/>
        <w:t xml:space="preserve">Anzahl Zeichen: </w:t>
      </w:r>
      <w:r>
        <w:rPr>
          <w:rFonts w:ascii="Arial" w:hAnsi="Arial" w:cs="Arial"/>
          <w:sz w:val="18"/>
          <w:szCs w:val="18"/>
          <w:lang w:val="de-AT"/>
        </w:rPr>
        <w:t xml:space="preserve">2.696 </w:t>
      </w:r>
      <w:r w:rsidRPr="000139E6">
        <w:rPr>
          <w:rFonts w:ascii="Arial" w:hAnsi="Arial" w:cs="Arial"/>
          <w:sz w:val="18"/>
          <w:szCs w:val="18"/>
          <w:lang w:val="de-AT"/>
        </w:rPr>
        <w:t xml:space="preserve">(inkl. </w:t>
      </w:r>
      <w:r>
        <w:rPr>
          <w:rFonts w:ascii="Arial" w:hAnsi="Arial" w:cs="Arial"/>
          <w:sz w:val="18"/>
          <w:szCs w:val="18"/>
          <w:lang w:val="de-AT"/>
        </w:rPr>
        <w:t>Leerzeichen), Anzahl Wörter: 369</w:t>
      </w:r>
    </w:p>
    <w:p w14:paraId="2737D593" w14:textId="77777777" w:rsidR="00B74166" w:rsidRPr="00C1454C" w:rsidRDefault="00B74166" w:rsidP="00B74166">
      <w:pPr>
        <w:spacing w:line="360" w:lineRule="auto"/>
        <w:rPr>
          <w:rFonts w:ascii="Arial" w:hAnsi="Arial" w:cs="Arial"/>
          <w:sz w:val="20"/>
          <w:szCs w:val="20"/>
        </w:rPr>
      </w:pPr>
    </w:p>
    <w:p w14:paraId="3F7503CC" w14:textId="48E1F5E8" w:rsidR="00183A51" w:rsidRDefault="00183A51" w:rsidP="00B74166">
      <w:pPr>
        <w:keepLine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de-AT"/>
        </w:rPr>
      </w:pPr>
      <w:r w:rsidRPr="00224453">
        <w:rPr>
          <w:rFonts w:ascii="Arial" w:hAnsi="Arial" w:cs="Arial"/>
          <w:b/>
          <w:noProof/>
          <w:color w:val="2B579A"/>
          <w:sz w:val="28"/>
          <w:szCs w:val="28"/>
          <w:shd w:val="clear" w:color="auto" w:fill="E6E6E6"/>
        </w:rPr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eastAsia="MS Mincho" w:hAnsi="Arial Hebrew Light" w:cs="ZIMBA_SARI_LIGHT"/>
          <w:sz w:val="20"/>
          <w:szCs w:val="20"/>
        </w:rPr>
        <w:tab/>
      </w:r>
      <w:hyperlink r:id="rId11" w:history="1">
        <w:r>
          <w:rPr>
            <w:rStyle w:val="Hyperlink"/>
            <w:rFonts w:ascii="Arial" w:hAnsi="Arial" w:cs="Arial"/>
            <w:sz w:val="20"/>
            <w:szCs w:val="20"/>
          </w:rPr>
          <w:t>www.blum.com</w:t>
        </w:r>
      </w:hyperlink>
      <w:r>
        <w:rPr>
          <w:rFonts w:ascii="Arial" w:hAnsi="Arial" w:cs="Arial"/>
          <w:sz w:val="20"/>
          <w:szCs w:val="20"/>
        </w:rPr>
        <w:br/>
      </w:r>
      <w:r w:rsidRPr="00641AEF">
        <w:rPr>
          <w:noProof/>
          <w:color w:val="2B579A"/>
          <w:shd w:val="clear" w:color="auto" w:fill="E6E6E6"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3" w:history="1">
        <w:r>
          <w:rPr>
            <w:rStyle w:val="Hyperlink"/>
            <w:rFonts w:ascii="Arial" w:hAnsi="Arial" w:cs="Arial"/>
            <w:sz w:val="20"/>
            <w:szCs w:val="20"/>
          </w:rPr>
          <w:t>www.twitter.com/BlumPresse</w:t>
        </w:r>
      </w:hyperlink>
      <w:r>
        <w:rPr>
          <w:rFonts w:ascii="Arial" w:hAnsi="Arial" w:cs="Arial"/>
          <w:sz w:val="20"/>
          <w:szCs w:val="20"/>
        </w:rPr>
        <w:br/>
      </w:r>
      <w:r w:rsidRPr="00224453">
        <w:rPr>
          <w:rFonts w:ascii="Arial" w:hAnsi="Arial" w:cs="Arial"/>
          <w:noProof/>
          <w:color w:val="0000FF"/>
          <w:sz w:val="20"/>
          <w:szCs w:val="20"/>
          <w:shd w:val="clear" w:color="auto" w:fill="E6E6E6"/>
          <w:lang w:val="en-US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hyperlink r:id="rId15" w:history="1">
        <w:r>
          <w:rPr>
            <w:rStyle w:val="Hyperlink"/>
            <w:rFonts w:ascii="Arial" w:hAnsi="Arial" w:cs="Arial"/>
            <w:sz w:val="20"/>
            <w:szCs w:val="20"/>
            <w:lang w:eastAsia="de-AT"/>
          </w:rPr>
          <w:t>www.youtube.com/user/JuliusBlumGmbH</w:t>
        </w:r>
      </w:hyperlink>
      <w:r>
        <w:rPr>
          <w:rFonts w:ascii="Arial" w:hAnsi="Arial" w:cs="Arial"/>
          <w:color w:val="0000FF"/>
          <w:sz w:val="20"/>
          <w:szCs w:val="20"/>
          <w:u w:val="single"/>
          <w:lang w:eastAsia="de-AT"/>
        </w:rPr>
        <w:br/>
      </w:r>
      <w:r w:rsidRPr="00224453">
        <w:rPr>
          <w:rFonts w:ascii="Arial" w:hAnsi="Arial" w:cs="Arial"/>
          <w:noProof/>
          <w:color w:val="2B579A"/>
          <w:sz w:val="20"/>
          <w:szCs w:val="20"/>
          <w:shd w:val="clear" w:color="auto" w:fill="E6E6E6"/>
          <w:lang w:val="en-US" w:eastAsia="de-AT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  <w:lang w:eastAsia="de-AT"/>
        </w:rPr>
        <w:tab/>
      </w:r>
      <w:hyperlink r:id="rId17" w:history="1">
        <w:r>
          <w:rPr>
            <w:rStyle w:val="Hyperlink"/>
            <w:rFonts w:ascii="Arial Hebrew Light" w:eastAsia="MS Mincho" w:hAnsi="Arial Hebrew Light" w:cs="ZIMBA_SARI_LIGHT"/>
            <w:sz w:val="20"/>
            <w:szCs w:val="20"/>
          </w:rPr>
          <w:t>www.linkedin.com/company/julius-blum-gmbh</w:t>
        </w:r>
      </w:hyperlink>
    </w:p>
    <w:p w14:paraId="071F78D7" w14:textId="481626F2" w:rsidR="00183A51" w:rsidRDefault="00183A51" w:rsidP="00B74166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2CE0342B" w:rsidR="00BC7BC7" w:rsidRPr="00C85871" w:rsidRDefault="007B288B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>
              <w:rPr>
                <w:noProof/>
              </w:rPr>
              <w:drawing>
                <wp:inline distT="0" distB="0" distL="0" distR="0" wp14:anchorId="69D7FBF1" wp14:editId="57E779FB">
                  <wp:extent cx="2160000" cy="1874118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874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14:paraId="7810D1B1" w14:textId="3FCA3C3C" w:rsidR="00E627BD" w:rsidRDefault="00183A51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(Bild: </w:t>
            </w:r>
            <w:r w:rsidR="009D59B5" w:rsidRPr="009D59B5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Blum_Pocketsystem000</w:t>
            </w:r>
            <w:r w:rsidR="009D59B5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2</w:t>
            </w:r>
            <w:bookmarkStart w:id="0" w:name="_GoBack"/>
            <w:bookmarkEnd w:id="0"/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)</w:t>
            </w:r>
          </w:p>
          <w:p w14:paraId="7F335C6B" w14:textId="77777777" w:rsidR="00B74166" w:rsidRDefault="00B74166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</w:p>
          <w:p w14:paraId="38685872" w14:textId="73993112" w:rsidR="00183A51" w:rsidRPr="00C85871" w:rsidRDefault="00E72CB0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Ganze Wohnbereiche </w:t>
            </w:r>
            <w:r w:rsidR="00C27CB9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verdecken und Räume funktional aufwerten, das erreicht Blum mit den neuen </w:t>
            </w:r>
            <w:proofErr w:type="spellStart"/>
            <w:r w:rsidR="00C27CB9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Pocketsystemen</w:t>
            </w:r>
            <w:proofErr w:type="spellEnd"/>
          </w:p>
        </w:tc>
      </w:tr>
      <w:tr w:rsidR="00612FEE" w:rsidRPr="00E62D87" w14:paraId="323663A9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1129780B" w14:textId="545C0245" w:rsidR="00BC7BC7" w:rsidRPr="00C85871" w:rsidRDefault="007B288B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>
              <w:rPr>
                <w:noProof/>
              </w:rPr>
              <w:drawing>
                <wp:inline distT="0" distB="0" distL="0" distR="0" wp14:anchorId="61C35AAC" wp14:editId="79CA645E">
                  <wp:extent cx="2160000" cy="1770474"/>
                  <wp:effectExtent l="0" t="0" r="0" b="127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770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14:paraId="41AC7E44" w14:textId="03EA6528" w:rsidR="007A2F4E" w:rsidRDefault="007A2F4E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(Bild: </w:t>
            </w:r>
            <w:r w:rsidR="009D59B5" w:rsidRPr="009D59B5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Blum_Pocketsystem0005</w:t>
            </w:r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)</w:t>
            </w:r>
          </w:p>
          <w:p w14:paraId="3A79AA2B" w14:textId="77777777" w:rsidR="00B74166" w:rsidRDefault="00B74166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</w:p>
          <w:p w14:paraId="7EEF0241" w14:textId="2DB627E1" w:rsidR="00612FEE" w:rsidRPr="00C85871" w:rsidRDefault="0092789B" w:rsidP="00B74166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Eine ganze Küchen</w:t>
            </w:r>
            <w:r w:rsidR="00106442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zeile lässt sich mit dem System von Blum aufgeräumt </w:t>
            </w:r>
            <w:r w:rsidR="007A2F4E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verdecken</w:t>
            </w:r>
          </w:p>
        </w:tc>
      </w:tr>
    </w:tbl>
    <w:p w14:paraId="42C8DED5" w14:textId="56FC8403" w:rsidR="00183A51" w:rsidRDefault="00183A51" w:rsidP="00B74166">
      <w:pPr>
        <w:spacing w:line="360" w:lineRule="auto"/>
        <w:rPr>
          <w:rFonts w:ascii="Arial" w:hAnsi="Arial" w:cs="Arial"/>
          <w:sz w:val="18"/>
          <w:szCs w:val="18"/>
        </w:rPr>
      </w:pPr>
      <w:r w:rsidRPr="003D60C9">
        <w:rPr>
          <w:rFonts w:ascii="Arial" w:hAnsi="Arial" w:cs="Arial"/>
          <w:b/>
          <w:sz w:val="18"/>
          <w:szCs w:val="18"/>
        </w:rPr>
        <w:t>Referenznummer:</w:t>
      </w:r>
      <w:r w:rsidRPr="003D60C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C9">
        <w:rPr>
          <w:rFonts w:ascii="Arial" w:hAnsi="Arial" w:cs="Arial"/>
          <w:sz w:val="18"/>
          <w:szCs w:val="18"/>
        </w:rPr>
        <w:t>Blum_</w:t>
      </w:r>
      <w:r w:rsidR="00D770EB" w:rsidRPr="003D60C9">
        <w:rPr>
          <w:rFonts w:ascii="Arial" w:hAnsi="Arial" w:cs="Arial"/>
          <w:sz w:val="18"/>
          <w:szCs w:val="18"/>
        </w:rPr>
        <w:t>Interzum</w:t>
      </w:r>
      <w:proofErr w:type="spellEnd"/>
      <w:r w:rsidR="00D770EB" w:rsidRPr="003D60C9">
        <w:rPr>
          <w:rFonts w:ascii="Arial" w:hAnsi="Arial" w:cs="Arial"/>
          <w:sz w:val="18"/>
          <w:szCs w:val="18"/>
        </w:rPr>
        <w:t xml:space="preserve"> 2019_</w:t>
      </w:r>
      <w:r w:rsidR="00E72CB0">
        <w:rPr>
          <w:rFonts w:ascii="Arial" w:hAnsi="Arial" w:cs="Arial"/>
          <w:sz w:val="18"/>
          <w:szCs w:val="18"/>
        </w:rPr>
        <w:t>Pocketsysteme</w:t>
      </w:r>
    </w:p>
    <w:p w14:paraId="6198AA89" w14:textId="77777777" w:rsidR="00B74166" w:rsidRDefault="00B74166" w:rsidP="00B74166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68821626" w:rsidR="00183A51" w:rsidRDefault="00183A51" w:rsidP="00B74166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Ihr Kontakt für Rückfragen:</w:t>
      </w:r>
    </w:p>
    <w:p w14:paraId="7ED6C221" w14:textId="63C5262D" w:rsidR="00183A51" w:rsidRDefault="3877935C" w:rsidP="00B74166">
      <w:pPr>
        <w:spacing w:line="360" w:lineRule="auto"/>
        <w:rPr>
          <w:rFonts w:ascii="Arial" w:hAnsi="Arial" w:cs="Arial"/>
          <w:sz w:val="20"/>
          <w:szCs w:val="20"/>
        </w:rPr>
      </w:pPr>
      <w:r w:rsidRPr="3877935C">
        <w:rPr>
          <w:rFonts w:ascii="Arial" w:hAnsi="Arial" w:cs="Arial"/>
          <w:sz w:val="20"/>
          <w:szCs w:val="20"/>
        </w:rPr>
        <w:t xml:space="preserve">Stefan Baumann: T +43 5578 705-2605; E </w:t>
      </w:r>
      <w:hyperlink r:id="rId20">
        <w:r w:rsidRPr="3877935C">
          <w:rPr>
            <w:rStyle w:val="Hyperlink"/>
            <w:rFonts w:ascii="Arial" w:hAnsi="Arial" w:cs="Arial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B7416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Julius Blum GmbH</w:t>
      </w:r>
      <w:r>
        <w:rPr>
          <w:rFonts w:ascii="Arial" w:hAnsi="Arial" w:cs="Arial"/>
          <w:sz w:val="20"/>
          <w:szCs w:val="20"/>
        </w:rPr>
        <w:br/>
        <w:t>Industriestr. 1</w:t>
      </w:r>
      <w:r>
        <w:rPr>
          <w:rFonts w:ascii="Arial" w:hAnsi="Arial" w:cs="Arial"/>
          <w:sz w:val="20"/>
          <w:szCs w:val="20"/>
        </w:rPr>
        <w:br/>
        <w:t>6973 Höchst/Austria</w:t>
      </w:r>
      <w:bookmarkStart w:id="1" w:name="_Hlk516056811"/>
    </w:p>
    <w:p w14:paraId="1A12066E" w14:textId="77777777" w:rsidR="00B74166" w:rsidRDefault="00B74166" w:rsidP="00B74166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38D337D7" w:rsidR="00183A51" w:rsidRDefault="00183A51" w:rsidP="00B74166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Weitere Pressemeldungen und digitale Pressemappen</w:t>
      </w:r>
      <w:r>
        <w:rPr>
          <w:rFonts w:ascii="Arial" w:hAnsi="Arial" w:cs="Arial"/>
          <w:sz w:val="20"/>
          <w:szCs w:val="20"/>
        </w:rPr>
        <w:t xml:space="preserve"> unter</w:t>
      </w:r>
      <w:r>
        <w:rPr>
          <w:rFonts w:ascii="Arial" w:hAnsi="Arial" w:cs="Arial"/>
          <w:b/>
          <w:sz w:val="20"/>
          <w:szCs w:val="20"/>
        </w:rPr>
        <w:t xml:space="preserve"> </w:t>
      </w:r>
      <w:hyperlink r:id="rId21" w:history="1">
        <w:r>
          <w:rPr>
            <w:rStyle w:val="Hyperlink"/>
            <w:rFonts w:ascii="Arial" w:hAnsi="Arial" w:cs="Arial"/>
            <w:spacing w:val="3"/>
            <w:sz w:val="20"/>
            <w:szCs w:val="20"/>
          </w:rPr>
          <w:t>https://www.blum.com/at/de/unternehmen/presse/</w:t>
        </w:r>
      </w:hyperlink>
    </w:p>
    <w:p w14:paraId="58F61329" w14:textId="408D5CD6" w:rsidR="00183A51" w:rsidRDefault="00183A51" w:rsidP="00B7416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Bilder:</w:t>
      </w:r>
      <w:r>
        <w:rPr>
          <w:rFonts w:ascii="Arial" w:hAnsi="Arial" w:cs="Arial"/>
          <w:sz w:val="20"/>
          <w:szCs w:val="20"/>
        </w:rPr>
        <w:t xml:space="preserve"> Zur Veröffentlichung honorarfrei, bitte Bildquelle angeben</w:t>
      </w:r>
      <w:bookmarkEnd w:id="1"/>
    </w:p>
    <w:p w14:paraId="0A2F6466" w14:textId="77777777" w:rsidR="00B74166" w:rsidRDefault="00B74166" w:rsidP="00B74166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lastRenderedPageBreak/>
              <w:t>JULIUS BLUM GMBH</w:t>
            </w:r>
          </w:p>
          <w:p w14:paraId="75ABA735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Herstellung und Vertrieb von Möbelbeschlägen: </w:t>
            </w:r>
          </w:p>
          <w:p w14:paraId="553A8B12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sz w:val="20"/>
                <w:szCs w:val="20"/>
              </w:rPr>
              <w:t>Klappen-, Scharnier-, Auszugsysteme</w:t>
            </w: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D1653">
              <w:rPr>
                <w:rFonts w:ascii="Arial" w:hAnsi="Arial" w:cs="Arial"/>
                <w:sz w:val="20"/>
                <w:szCs w:val="20"/>
              </w:rPr>
              <w:t>und Bewegungstechnologien,</w:t>
            </w:r>
            <w:r w:rsidRPr="006D1653">
              <w:rPr>
                <w:rFonts w:ascii="Arial" w:hAnsi="Arial" w:cs="Arial"/>
                <w:sz w:val="20"/>
                <w:szCs w:val="20"/>
              </w:rPr>
              <w:br/>
              <w:t>unterstützt durch Verarbeitungshilfen und E-Services</w:t>
            </w:r>
          </w:p>
          <w:p w14:paraId="41F62441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Produktionsstandorte: </w:t>
            </w:r>
            <w:r w:rsidRPr="006D1653">
              <w:rPr>
                <w:rFonts w:ascii="Arial" w:hAnsi="Arial" w:cs="Arial"/>
                <w:sz w:val="20"/>
                <w:szCs w:val="20"/>
              </w:rPr>
              <w:t>8 Werke in Vorarlberg</w:t>
            </w: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6D1653">
              <w:rPr>
                <w:rFonts w:ascii="Arial" w:hAnsi="Arial" w:cs="Arial"/>
                <w:sz w:val="20"/>
                <w:szCs w:val="20"/>
              </w:rPr>
              <w:t>weitere in USA, Brasilien und Polen</w:t>
            </w:r>
          </w:p>
          <w:p w14:paraId="1AD9AEFA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Mitarbeiter: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weltweit 7.600, in Vorarlberg 5.800</w:t>
            </w:r>
          </w:p>
          <w:p w14:paraId="2C1A6CBC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Umsatz im Wirtschaftsjahr 2017/2018: </w:t>
            </w:r>
            <w:r w:rsidRPr="006D1653">
              <w:rPr>
                <w:rFonts w:ascii="Arial" w:hAnsi="Arial" w:cs="Arial"/>
                <w:sz w:val="20"/>
                <w:szCs w:val="20"/>
              </w:rPr>
              <w:t>1.839,42 Mio. Euro</w:t>
            </w:r>
          </w:p>
          <w:p w14:paraId="0CCA3FD1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Auslandsumsatz: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97 %</w:t>
            </w:r>
          </w:p>
          <w:p w14:paraId="45FEEE65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Tochtergesellschaften bzw. Repräsentanzen: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30 </w:t>
            </w:r>
          </w:p>
          <w:p w14:paraId="600C7EBE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weltweit belieferte Märkte: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über 120 </w:t>
            </w:r>
          </w:p>
          <w:p w14:paraId="5A6727FF" w14:textId="77777777" w:rsidR="00183A51" w:rsidRPr="006D1653" w:rsidRDefault="00183A51" w:rsidP="00B74166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6D1653">
              <w:rPr>
                <w:rFonts w:ascii="Arial" w:hAnsi="Arial" w:cs="Arial"/>
                <w:i/>
                <w:sz w:val="20"/>
                <w:szCs w:val="20"/>
              </w:rPr>
              <w:t>Stand: 1. Juli 2018</w:t>
            </w:r>
          </w:p>
        </w:tc>
      </w:tr>
    </w:tbl>
    <w:p w14:paraId="4E47C1E7" w14:textId="6E5AE8D4" w:rsidR="007F5A72" w:rsidRDefault="007F5A72" w:rsidP="00B74166">
      <w:pPr>
        <w:spacing w:line="360" w:lineRule="auto"/>
      </w:pPr>
    </w:p>
    <w:sectPr w:rsidR="007F5A72" w:rsidSect="00BE0218">
      <w:headerReference w:type="even" r:id="rId22"/>
      <w:footerReference w:type="default" r:id="rId23"/>
      <w:headerReference w:type="first" r:id="rId24"/>
      <w:footerReference w:type="first" r:id="rId25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99B9F" w14:textId="77777777" w:rsidR="00381250" w:rsidRDefault="00381250">
      <w:r>
        <w:separator/>
      </w:r>
    </w:p>
  </w:endnote>
  <w:endnote w:type="continuationSeparator" w:id="0">
    <w:p w14:paraId="4F6B728A" w14:textId="77777777" w:rsidR="00381250" w:rsidRDefault="00381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mbusSansGlobal-Regular">
    <w:altName w:val="Arial Unicode MS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DD767" w14:textId="77777777" w:rsidR="00381250" w:rsidRDefault="00381250">
      <w:r>
        <w:separator/>
      </w:r>
    </w:p>
  </w:footnote>
  <w:footnote w:type="continuationSeparator" w:id="0">
    <w:p w14:paraId="5B114D02" w14:textId="77777777" w:rsidR="00381250" w:rsidRDefault="00381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7557E4"/>
  <w:p w14:paraId="68F710B3" w14:textId="77777777" w:rsidR="009D77BA" w:rsidRDefault="007557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26B59404" w:rsidR="008C3FA9" w:rsidRDefault="000A6471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20043FBE" wp14:editId="5E0E206A">
          <wp:extent cx="1000760" cy="267335"/>
          <wp:effectExtent l="0" t="0" r="8890" b="0"/>
          <wp:docPr id="1" name="Grafik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eastAsia="MS Mincho" w:hAnsi="Arial" w:cs="Arial"/>
        <w:color w:val="000000"/>
      </w:rPr>
    </w:pPr>
    <w:r w:rsidRPr="009C1CD2">
      <w:rPr>
        <w:rFonts w:ascii="Arial" w:eastAsia="MS Mincho" w:hAnsi="Arial" w:cs="Arial"/>
        <w:color w:val="000000"/>
      </w:rPr>
      <w:t>JULIUS BLUM GmbH, PRESSESERVICE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12040"/>
    <w:rsid w:val="00014D17"/>
    <w:rsid w:val="00020D16"/>
    <w:rsid w:val="0002156B"/>
    <w:rsid w:val="00043E34"/>
    <w:rsid w:val="00052FFD"/>
    <w:rsid w:val="00066376"/>
    <w:rsid w:val="00072927"/>
    <w:rsid w:val="000A6471"/>
    <w:rsid w:val="000C3647"/>
    <w:rsid w:val="000C5421"/>
    <w:rsid w:val="000C7E21"/>
    <w:rsid w:val="000D674F"/>
    <w:rsid w:val="000E31DD"/>
    <w:rsid w:val="000E5770"/>
    <w:rsid w:val="000F0B78"/>
    <w:rsid w:val="00106442"/>
    <w:rsid w:val="00111B09"/>
    <w:rsid w:val="00114FB9"/>
    <w:rsid w:val="00115ADA"/>
    <w:rsid w:val="00116725"/>
    <w:rsid w:val="0012215D"/>
    <w:rsid w:val="0013312A"/>
    <w:rsid w:val="001414C9"/>
    <w:rsid w:val="00154180"/>
    <w:rsid w:val="00155ADC"/>
    <w:rsid w:val="0016120E"/>
    <w:rsid w:val="00177372"/>
    <w:rsid w:val="00182BFF"/>
    <w:rsid w:val="00183A51"/>
    <w:rsid w:val="00186C75"/>
    <w:rsid w:val="00194E99"/>
    <w:rsid w:val="001A020F"/>
    <w:rsid w:val="001B1042"/>
    <w:rsid w:val="001C2D3F"/>
    <w:rsid w:val="001E0D43"/>
    <w:rsid w:val="001F0644"/>
    <w:rsid w:val="001F0C33"/>
    <w:rsid w:val="0020782F"/>
    <w:rsid w:val="0022113D"/>
    <w:rsid w:val="00227496"/>
    <w:rsid w:val="002312A8"/>
    <w:rsid w:val="00242C47"/>
    <w:rsid w:val="00255C96"/>
    <w:rsid w:val="0026566D"/>
    <w:rsid w:val="00267D93"/>
    <w:rsid w:val="00274F91"/>
    <w:rsid w:val="00292FF4"/>
    <w:rsid w:val="00293B2D"/>
    <w:rsid w:val="00295760"/>
    <w:rsid w:val="00296257"/>
    <w:rsid w:val="002A5DF4"/>
    <w:rsid w:val="002C7A0B"/>
    <w:rsid w:val="002D221C"/>
    <w:rsid w:val="002D4304"/>
    <w:rsid w:val="002E13F9"/>
    <w:rsid w:val="002F6405"/>
    <w:rsid w:val="0030113C"/>
    <w:rsid w:val="00306526"/>
    <w:rsid w:val="003068E9"/>
    <w:rsid w:val="0030757D"/>
    <w:rsid w:val="00307BA7"/>
    <w:rsid w:val="003231A1"/>
    <w:rsid w:val="0032384D"/>
    <w:rsid w:val="00323B71"/>
    <w:rsid w:val="00334792"/>
    <w:rsid w:val="003374B3"/>
    <w:rsid w:val="003458C9"/>
    <w:rsid w:val="00347E7E"/>
    <w:rsid w:val="00356B29"/>
    <w:rsid w:val="003632EF"/>
    <w:rsid w:val="00371550"/>
    <w:rsid w:val="00371C1F"/>
    <w:rsid w:val="0037582D"/>
    <w:rsid w:val="00380C37"/>
    <w:rsid w:val="00381250"/>
    <w:rsid w:val="00391348"/>
    <w:rsid w:val="003A4DAE"/>
    <w:rsid w:val="003B6DB6"/>
    <w:rsid w:val="003D4E2F"/>
    <w:rsid w:val="003D60C9"/>
    <w:rsid w:val="003D6EF3"/>
    <w:rsid w:val="003E09CD"/>
    <w:rsid w:val="003E4D7D"/>
    <w:rsid w:val="003F4300"/>
    <w:rsid w:val="003F7E05"/>
    <w:rsid w:val="0040104C"/>
    <w:rsid w:val="0041389F"/>
    <w:rsid w:val="0041486F"/>
    <w:rsid w:val="0042433F"/>
    <w:rsid w:val="00444A2F"/>
    <w:rsid w:val="00444C59"/>
    <w:rsid w:val="00445994"/>
    <w:rsid w:val="004505D4"/>
    <w:rsid w:val="00450755"/>
    <w:rsid w:val="00472107"/>
    <w:rsid w:val="004747EA"/>
    <w:rsid w:val="004748C1"/>
    <w:rsid w:val="00475633"/>
    <w:rsid w:val="00477F8E"/>
    <w:rsid w:val="004A426E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78B"/>
    <w:rsid w:val="004F13D7"/>
    <w:rsid w:val="004F2D9B"/>
    <w:rsid w:val="004F2F3F"/>
    <w:rsid w:val="00506D09"/>
    <w:rsid w:val="00506DBB"/>
    <w:rsid w:val="005279BC"/>
    <w:rsid w:val="0053381B"/>
    <w:rsid w:val="005339AB"/>
    <w:rsid w:val="005418A1"/>
    <w:rsid w:val="00541932"/>
    <w:rsid w:val="005460C6"/>
    <w:rsid w:val="00562C4C"/>
    <w:rsid w:val="00563402"/>
    <w:rsid w:val="00577246"/>
    <w:rsid w:val="00585F61"/>
    <w:rsid w:val="00595CFF"/>
    <w:rsid w:val="00597599"/>
    <w:rsid w:val="005A26FF"/>
    <w:rsid w:val="005A3B5B"/>
    <w:rsid w:val="005C1717"/>
    <w:rsid w:val="005C5B87"/>
    <w:rsid w:val="005E0F79"/>
    <w:rsid w:val="005F600E"/>
    <w:rsid w:val="0060258D"/>
    <w:rsid w:val="00612FEE"/>
    <w:rsid w:val="00625F2F"/>
    <w:rsid w:val="00632640"/>
    <w:rsid w:val="00634011"/>
    <w:rsid w:val="00634C9F"/>
    <w:rsid w:val="0064533E"/>
    <w:rsid w:val="00645DD9"/>
    <w:rsid w:val="0067478D"/>
    <w:rsid w:val="00677075"/>
    <w:rsid w:val="006C1B62"/>
    <w:rsid w:val="006C72DA"/>
    <w:rsid w:val="006D0C88"/>
    <w:rsid w:val="006E4FCE"/>
    <w:rsid w:val="0070195E"/>
    <w:rsid w:val="007210F5"/>
    <w:rsid w:val="00727CD0"/>
    <w:rsid w:val="00730A79"/>
    <w:rsid w:val="0074066F"/>
    <w:rsid w:val="0074216E"/>
    <w:rsid w:val="007557E4"/>
    <w:rsid w:val="00762836"/>
    <w:rsid w:val="00793F68"/>
    <w:rsid w:val="00794BDA"/>
    <w:rsid w:val="007956F4"/>
    <w:rsid w:val="007A1D57"/>
    <w:rsid w:val="007A2F4E"/>
    <w:rsid w:val="007B288B"/>
    <w:rsid w:val="007E2B84"/>
    <w:rsid w:val="007E2E33"/>
    <w:rsid w:val="007E432A"/>
    <w:rsid w:val="007F09CD"/>
    <w:rsid w:val="007F3724"/>
    <w:rsid w:val="007F39EB"/>
    <w:rsid w:val="007F5A26"/>
    <w:rsid w:val="007F5A72"/>
    <w:rsid w:val="00800B83"/>
    <w:rsid w:val="008040DE"/>
    <w:rsid w:val="0082280F"/>
    <w:rsid w:val="00827D4C"/>
    <w:rsid w:val="008555C2"/>
    <w:rsid w:val="00870D17"/>
    <w:rsid w:val="008734F9"/>
    <w:rsid w:val="0087534B"/>
    <w:rsid w:val="00880889"/>
    <w:rsid w:val="00891B4B"/>
    <w:rsid w:val="00895DB5"/>
    <w:rsid w:val="008A22FC"/>
    <w:rsid w:val="008B5981"/>
    <w:rsid w:val="008C3070"/>
    <w:rsid w:val="00910C1C"/>
    <w:rsid w:val="00916769"/>
    <w:rsid w:val="00923FDB"/>
    <w:rsid w:val="0092789B"/>
    <w:rsid w:val="0093068E"/>
    <w:rsid w:val="00941FED"/>
    <w:rsid w:val="00942E4D"/>
    <w:rsid w:val="00943E0D"/>
    <w:rsid w:val="009518AB"/>
    <w:rsid w:val="00960AEE"/>
    <w:rsid w:val="0096179D"/>
    <w:rsid w:val="00964E02"/>
    <w:rsid w:val="00967412"/>
    <w:rsid w:val="00976D0A"/>
    <w:rsid w:val="00982058"/>
    <w:rsid w:val="00982345"/>
    <w:rsid w:val="00990212"/>
    <w:rsid w:val="00990B4E"/>
    <w:rsid w:val="00992BC1"/>
    <w:rsid w:val="009959D0"/>
    <w:rsid w:val="009C50D0"/>
    <w:rsid w:val="009C6B2D"/>
    <w:rsid w:val="009D07E4"/>
    <w:rsid w:val="009D1C99"/>
    <w:rsid w:val="009D59B5"/>
    <w:rsid w:val="009E1B08"/>
    <w:rsid w:val="009E228D"/>
    <w:rsid w:val="009E6B05"/>
    <w:rsid w:val="009F191B"/>
    <w:rsid w:val="00A15789"/>
    <w:rsid w:val="00A16004"/>
    <w:rsid w:val="00A17749"/>
    <w:rsid w:val="00A312EB"/>
    <w:rsid w:val="00A32846"/>
    <w:rsid w:val="00A44E9B"/>
    <w:rsid w:val="00A57175"/>
    <w:rsid w:val="00A61097"/>
    <w:rsid w:val="00A769DF"/>
    <w:rsid w:val="00A8127F"/>
    <w:rsid w:val="00A879DB"/>
    <w:rsid w:val="00A911BA"/>
    <w:rsid w:val="00AA01BF"/>
    <w:rsid w:val="00AA3BAC"/>
    <w:rsid w:val="00AB69C2"/>
    <w:rsid w:val="00AC4931"/>
    <w:rsid w:val="00AC6416"/>
    <w:rsid w:val="00AC7F64"/>
    <w:rsid w:val="00AF3BB0"/>
    <w:rsid w:val="00B12054"/>
    <w:rsid w:val="00B1322C"/>
    <w:rsid w:val="00B13F47"/>
    <w:rsid w:val="00B15A7A"/>
    <w:rsid w:val="00B16B31"/>
    <w:rsid w:val="00B16CD7"/>
    <w:rsid w:val="00B3798D"/>
    <w:rsid w:val="00B74166"/>
    <w:rsid w:val="00B914DC"/>
    <w:rsid w:val="00BA5270"/>
    <w:rsid w:val="00BA5610"/>
    <w:rsid w:val="00BC39FA"/>
    <w:rsid w:val="00BC7BC7"/>
    <w:rsid w:val="00BD57AB"/>
    <w:rsid w:val="00BD6FA5"/>
    <w:rsid w:val="00BE0218"/>
    <w:rsid w:val="00BF0586"/>
    <w:rsid w:val="00C058B4"/>
    <w:rsid w:val="00C12EF5"/>
    <w:rsid w:val="00C1454C"/>
    <w:rsid w:val="00C27CB9"/>
    <w:rsid w:val="00C31F94"/>
    <w:rsid w:val="00C53181"/>
    <w:rsid w:val="00C8387A"/>
    <w:rsid w:val="00C86E35"/>
    <w:rsid w:val="00C962B6"/>
    <w:rsid w:val="00C97BD4"/>
    <w:rsid w:val="00CA638F"/>
    <w:rsid w:val="00CB3297"/>
    <w:rsid w:val="00CB6416"/>
    <w:rsid w:val="00CE4E86"/>
    <w:rsid w:val="00CE5DD9"/>
    <w:rsid w:val="00CF24B9"/>
    <w:rsid w:val="00D02A4A"/>
    <w:rsid w:val="00D210A4"/>
    <w:rsid w:val="00D30D04"/>
    <w:rsid w:val="00D31B48"/>
    <w:rsid w:val="00D36C47"/>
    <w:rsid w:val="00D4455C"/>
    <w:rsid w:val="00D51344"/>
    <w:rsid w:val="00D51346"/>
    <w:rsid w:val="00D609D5"/>
    <w:rsid w:val="00D67F99"/>
    <w:rsid w:val="00D770EB"/>
    <w:rsid w:val="00D81003"/>
    <w:rsid w:val="00D85D13"/>
    <w:rsid w:val="00D93CFF"/>
    <w:rsid w:val="00DA633D"/>
    <w:rsid w:val="00DB0514"/>
    <w:rsid w:val="00DB24EC"/>
    <w:rsid w:val="00DB4626"/>
    <w:rsid w:val="00DB737F"/>
    <w:rsid w:val="00DC539A"/>
    <w:rsid w:val="00DD7EC6"/>
    <w:rsid w:val="00DE7A3E"/>
    <w:rsid w:val="00E00316"/>
    <w:rsid w:val="00E0238D"/>
    <w:rsid w:val="00E12E59"/>
    <w:rsid w:val="00E26581"/>
    <w:rsid w:val="00E27BDA"/>
    <w:rsid w:val="00E30773"/>
    <w:rsid w:val="00E55080"/>
    <w:rsid w:val="00E6102F"/>
    <w:rsid w:val="00E627BD"/>
    <w:rsid w:val="00E66B41"/>
    <w:rsid w:val="00E72CB0"/>
    <w:rsid w:val="00E73986"/>
    <w:rsid w:val="00E914B3"/>
    <w:rsid w:val="00E96D3D"/>
    <w:rsid w:val="00E9750E"/>
    <w:rsid w:val="00EA252E"/>
    <w:rsid w:val="00EA5436"/>
    <w:rsid w:val="00EC1837"/>
    <w:rsid w:val="00EC3579"/>
    <w:rsid w:val="00ED4C16"/>
    <w:rsid w:val="00ED6D5D"/>
    <w:rsid w:val="00EE3BDA"/>
    <w:rsid w:val="00EE3CD6"/>
    <w:rsid w:val="00EE4FAD"/>
    <w:rsid w:val="00EE5949"/>
    <w:rsid w:val="00EE790E"/>
    <w:rsid w:val="00EF5E49"/>
    <w:rsid w:val="00F034A5"/>
    <w:rsid w:val="00F05EA9"/>
    <w:rsid w:val="00F239CE"/>
    <w:rsid w:val="00F40E8E"/>
    <w:rsid w:val="00F532D3"/>
    <w:rsid w:val="00F533A7"/>
    <w:rsid w:val="00F649A7"/>
    <w:rsid w:val="00F73F4D"/>
    <w:rsid w:val="00F83BC3"/>
    <w:rsid w:val="00FA24D0"/>
    <w:rsid w:val="00FA30AC"/>
    <w:rsid w:val="00FC4915"/>
    <w:rsid w:val="00FD6C5A"/>
    <w:rsid w:val="00FE2B5E"/>
    <w:rsid w:val="00FE59E9"/>
    <w:rsid w:val="00FF0C00"/>
    <w:rsid w:val="00FF4AFA"/>
    <w:rsid w:val="018799B5"/>
    <w:rsid w:val="0C1B5567"/>
    <w:rsid w:val="1082E91D"/>
    <w:rsid w:val="115DE374"/>
    <w:rsid w:val="18C9E02C"/>
    <w:rsid w:val="1CCDF6AF"/>
    <w:rsid w:val="1CED830D"/>
    <w:rsid w:val="1F03AD61"/>
    <w:rsid w:val="206488BA"/>
    <w:rsid w:val="2DCCFD1E"/>
    <w:rsid w:val="32047458"/>
    <w:rsid w:val="3877935C"/>
    <w:rsid w:val="38F78FA0"/>
    <w:rsid w:val="3D29462A"/>
    <w:rsid w:val="4DE1B0E7"/>
    <w:rsid w:val="52A15B81"/>
    <w:rsid w:val="555FBFCE"/>
    <w:rsid w:val="651DC092"/>
    <w:rsid w:val="681D871B"/>
    <w:rsid w:val="750CF8F0"/>
    <w:rsid w:val="79CE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Times New Roman" w:hAnsi="Courier New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Times New Roman" w:hAnsi="Segoe UI" w:cs="Segoe UI"/>
      <w:sz w:val="18"/>
      <w:szCs w:val="18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paragraph" w:styleId="Kopfzeile">
    <w:name w:val="header"/>
    <w:basedOn w:val="Standard"/>
    <w:link w:val="KopfzeileZchn"/>
    <w:uiPriority w:val="99"/>
    <w:unhideWhenUsed/>
    <w:rsid w:val="00634C9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4C9F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33292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1827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9185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9324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7123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71288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644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391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BlumPresse" TargetMode="External"/><Relationship Id="rId18" Type="http://schemas.openxmlformats.org/officeDocument/2006/relationships/image" Target="media/image5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blum.com/at/de/unternehmen/presse/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s://www.linkedin.com/company/julius-blum-gmbh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mailto:presseinfo@blum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um.com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youtube.com/user/JuliusBlumGmbH" TargetMode="External"/><Relationship Id="rId23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6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Ramona Gasser</DisplayName>
        <AccountId>83</AccountId>
        <AccountType/>
      </UserInfo>
      <UserInfo>
        <DisplayName>Nina Huemer</DisplayName>
        <AccountId>85</AccountId>
        <AccountType/>
      </UserInfo>
      <UserInfo>
        <DisplayName>Patrick Fussenegger</DisplayName>
        <AccountId>15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AEC04B-44E5-4F38-BB11-0A46CA1A9BFD}">
  <ds:schemaRefs>
    <ds:schemaRef ds:uri="http://schemas.microsoft.com/office/2006/metadata/properties"/>
    <ds:schemaRef ds:uri="http://schemas.microsoft.com/office/infopath/2007/PartnerControls"/>
    <ds:schemaRef ds:uri="4772dd7f-e84b-4eb8-8e2d-3d5b44201ffb"/>
  </ds:schemaRefs>
</ds:datastoreItem>
</file>

<file path=customXml/itemProps3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Stefan Baumann</cp:lastModifiedBy>
  <cp:revision>247</cp:revision>
  <cp:lastPrinted>2019-02-22T10:47:00Z</cp:lastPrinted>
  <dcterms:created xsi:type="dcterms:W3CDTF">2019-02-27T15:27:00Z</dcterms:created>
  <dcterms:modified xsi:type="dcterms:W3CDTF">2019-05-07T14:34:00Z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5120">
    <vt:lpwstr>34</vt:lpwstr>
  </property>
</Properties>
</file>